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C5036FA" w:rsidR="00093CA9" w:rsidRDefault="001B07D3"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A1D6B7C" w:rsidR="00093CA9" w:rsidRDefault="00AE7467" w:rsidP="00093CA9">
            <w:r w:rsidRPr="00AE7467">
              <w:t>Directive (EU) 2019/2034 of the European Parliament and of the Council of 27 November 2019 on the prudential supervision of investment firms (“IFD”)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495C00F" w:rsidR="00093CA9" w:rsidRDefault="00604209" w:rsidP="00093CA9">
            <w:hyperlink r:id="rId17" w:history="1">
              <w:r w:rsidRPr="005B5027">
                <w:rPr>
                  <w:rStyle w:val="Hyperlink"/>
                </w:rPr>
                <w:t>https://web.archive.org/web/20250723165238/https://eur-lex.europa.eu/legal-content/EN/TXT/?uri=CELEX%3A02019L2034-20241224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E856CC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FAB2952" w:rsidR="00093CA9" w:rsidRDefault="00AE746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67D5BB1" w14:textId="77777777" w:rsidR="00093CA9" w:rsidRDefault="00B81517" w:rsidP="00093CA9">
            <w:r w:rsidRPr="00B81517">
              <w:t>Directive (EU) 2019/2034, commonly referred to as the Investment Firms Directive (IFD),</w:t>
            </w:r>
            <w:r w:rsidR="00C1667C">
              <w:t xml:space="preserve"> </w:t>
            </w:r>
            <w:r w:rsidR="00C1667C" w:rsidRPr="00C1667C">
              <w:t>forms part of the EU’s prudential framework for investment firms</w:t>
            </w:r>
            <w:r w:rsidR="00C1667C">
              <w:t>.</w:t>
            </w:r>
          </w:p>
          <w:p w14:paraId="3AAE190B" w14:textId="77777777" w:rsidR="00C1667C" w:rsidRDefault="00C1667C" w:rsidP="00093CA9">
            <w:r w:rsidRPr="00C1667C">
              <w:t>Together with Regulation (EU) 2019/2033 (the IFR), it replaces the previous application of banking rules (CRD/CRR) to most investment firms and introduces a more proportionate, risk-sensitive regime.</w:t>
            </w:r>
          </w:p>
          <w:p w14:paraId="18257824" w14:textId="7F663209" w:rsidR="00895F87" w:rsidRDefault="00C1667C" w:rsidP="00093CA9">
            <w:r w:rsidRPr="00C1667C">
              <w:t>The main goal of the IFD is to ensure that investment firms have adequate capital and liquidity to address the risks they face and pose, based on their size, business model and systemic relevance. It requires firms to establish internal processes to identify, assess, monitor</w:t>
            </w:r>
            <w:r w:rsidR="00AE31E9">
              <w:t xml:space="preserve"> </w:t>
            </w:r>
            <w:r w:rsidRPr="00C1667C">
              <w:t>and mitigate all material risks</w:t>
            </w:r>
            <w:r w:rsidR="00AE31E9">
              <w:t xml:space="preserve">, </w:t>
            </w:r>
            <w:r w:rsidRPr="00C1667C">
              <w:t>explicitly including those not captured by regulatory capital requirements. This includes forward-looking and non-traditional risks such as those arising from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0EDBE41" w:rsidR="00093CA9" w:rsidRDefault="00C8278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767919C" w:rsidR="00093CA9" w:rsidRPr="00173D7C" w:rsidRDefault="0043642E"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CB7E069" w:rsidR="00093CA9" w:rsidRDefault="00EC22CD" w:rsidP="00093CA9">
            <w:r>
              <w:t>Th</w:t>
            </w:r>
            <w:r w:rsidRPr="00EC22CD">
              <w:t>e European Parliament and the Council of the European Union</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07D60AF" w:rsidR="00093CA9" w:rsidRPr="006B7B0D" w:rsidRDefault="00CE6DEF" w:rsidP="00093CA9">
            <w:r w:rsidRPr="00CE6DEF">
              <w:t>European Banking Authority (EBA)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535B6FB" w:rsidR="00093CA9" w:rsidRPr="006B7B0D" w:rsidRDefault="008A3D4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348DBA89" w14:textId="77777777" w:rsidR="00E5051C" w:rsidRDefault="00E5051C" w:rsidP="00093CA9">
            <w:r w:rsidRPr="00E5051C">
              <w:t xml:space="preserve">As the EU’s central supervisory coordination body for banking and investment firm regulation, the EBA has a strong legal mandate under Regulation (EU) No 1093/2010 and extensive experience in developing and enforcing regulatory technical standards, guidelines, and supervisory methodologies. </w:t>
            </w:r>
          </w:p>
          <w:p w14:paraId="13359C86" w14:textId="77777777" w:rsidR="00E5051C" w:rsidRDefault="00E5051C" w:rsidP="00093CA9">
            <w:r w:rsidRPr="00E5051C">
              <w:t xml:space="preserve">It plays a key role in promoting supervisory convergence across Member States and has demonstrated its technical capacity in areas such as ESG and climate-related risk management, notably through its 2022 guidelines and its work under Article 35 of the IFD. </w:t>
            </w:r>
          </w:p>
          <w:p w14:paraId="42D06D03" w14:textId="15FB499F" w:rsidR="00093CA9" w:rsidRDefault="00E5051C" w:rsidP="00093CA9">
            <w:r w:rsidRPr="00E5051C">
              <w:t>In addition, the EBA has institutional powers to mediate disagreements between national competent authorities and to support consistent enforcement at EU level.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2654886" w:rsidR="00093CA9" w:rsidRDefault="009905E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3771E92" w14:textId="77777777" w:rsidR="00093CA9" w:rsidRDefault="005223DC" w:rsidP="00093CA9">
            <w:pPr>
              <w:keepNext/>
              <w:rPr>
                <w:color w:val="000000" w:themeColor="text1"/>
              </w:rPr>
            </w:pPr>
            <w:r>
              <w:rPr>
                <w:color w:val="000000" w:themeColor="text1"/>
              </w:rPr>
              <w:t xml:space="preserve">Article 21: </w:t>
            </w:r>
            <w:r w:rsidR="00BF70FF">
              <w:rPr>
                <w:color w:val="000000" w:themeColor="text1"/>
              </w:rPr>
              <w:t>C</w:t>
            </w:r>
            <w:r w:rsidR="00BF70FF" w:rsidRPr="00BF70FF">
              <w:rPr>
                <w:color w:val="000000" w:themeColor="text1"/>
              </w:rPr>
              <w:t>ompetent authorities are required to report administrative sanctions and other administrative measures imposed under Article 18 to the European Banking Authority (EBA).</w:t>
            </w:r>
            <w:r w:rsidR="000D6D08">
              <w:rPr>
                <w:color w:val="000000" w:themeColor="text1"/>
              </w:rPr>
              <w:t xml:space="preserve"> </w:t>
            </w:r>
            <w:r w:rsidR="000D6D08" w:rsidRPr="000D6D08">
              <w:rPr>
                <w:color w:val="000000" w:themeColor="text1"/>
              </w:rPr>
              <w:t>The EBA maintains a central database of these sanctions for the purpose of supervisory cooperation and information exchange among competent authorities. This database is not public but serves as a supervisory coordination tool at the EU level.</w:t>
            </w:r>
          </w:p>
          <w:p w14:paraId="5E991605" w14:textId="77777777" w:rsidR="000D6D08" w:rsidRDefault="000D6D08" w:rsidP="00093CA9">
            <w:pPr>
              <w:keepNext/>
              <w:rPr>
                <w:color w:val="000000" w:themeColor="text1"/>
              </w:rPr>
            </w:pPr>
            <w:r>
              <w:rPr>
                <w:color w:val="000000" w:themeColor="text1"/>
              </w:rPr>
              <w:t xml:space="preserve">Article 22: </w:t>
            </w:r>
            <w:r w:rsidR="00827352" w:rsidRPr="00827352">
              <w:rPr>
                <w:color w:val="000000" w:themeColor="text1"/>
              </w:rPr>
              <w:t xml:space="preserve">Member States </w:t>
            </w:r>
            <w:r w:rsidR="00827352">
              <w:rPr>
                <w:color w:val="000000" w:themeColor="text1"/>
              </w:rPr>
              <w:t xml:space="preserve">are obliged </w:t>
            </w:r>
            <w:r w:rsidR="00827352" w:rsidRPr="00827352">
              <w:rPr>
                <w:color w:val="000000" w:themeColor="text1"/>
              </w:rPr>
              <w:t xml:space="preserve">to ensure that competent authorities establish effective and reliable whistleblowing mechanisms to allow for the reporting of breaches of </w:t>
            </w:r>
            <w:r w:rsidR="00827352" w:rsidRPr="00827352">
              <w:rPr>
                <w:color w:val="000000" w:themeColor="text1"/>
              </w:rPr>
              <w:lastRenderedPageBreak/>
              <w:t>the directive or of Regulation (EU) 2019/2033. These systems must include secure communication channels, protection against retaliation, and confidentiality safeguards.</w:t>
            </w:r>
          </w:p>
          <w:p w14:paraId="2C2128DB" w14:textId="23FE70A0" w:rsidR="00827352" w:rsidRPr="008017F9" w:rsidRDefault="00827352" w:rsidP="00093CA9">
            <w:pPr>
              <w:keepNext/>
              <w:rPr>
                <w:color w:val="000000" w:themeColor="text1"/>
              </w:rPr>
            </w:pPr>
            <w:r>
              <w:rPr>
                <w:color w:val="000000" w:themeColor="text1"/>
              </w:rPr>
              <w:t>Article 13: C</w:t>
            </w:r>
            <w:r w:rsidRPr="00827352">
              <w:rPr>
                <w:color w:val="000000" w:themeColor="text1"/>
              </w:rPr>
              <w:t>lose cooperation and timely exchange of supervisory information between competent authorities of different Member States</w:t>
            </w:r>
            <w:r>
              <w:rPr>
                <w:color w:val="000000" w:themeColor="text1"/>
              </w:rPr>
              <w:t xml:space="preserve"> is required</w:t>
            </w:r>
            <w:r w:rsidRPr="00827352">
              <w:rPr>
                <w:color w:val="000000" w:themeColor="text1"/>
              </w:rPr>
              <w:t>, further supporting the monitoring of cross-border activities of investment firms</w:t>
            </w:r>
            <w:r w:rsidR="005C54C9">
              <w:rPr>
                <w:color w:val="000000" w:themeColor="text1"/>
              </w:rPr>
              <w:t xml:space="preserve">. </w:t>
            </w:r>
            <w:r w:rsidR="005C54C9" w:rsidRPr="005C54C9">
              <w:rPr>
                <w:color w:val="000000" w:themeColor="text1"/>
              </w:rPr>
              <w:t>This provision is reinforced by Articles 7 and 8, which require Member States and competent authorities to participate actively in the European System of Financial Supervision</w:t>
            </w:r>
            <w:r w:rsidR="005C54C9">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446F6FB" w:rsidR="00D4323A" w:rsidRPr="00CF2E7C" w:rsidRDefault="00B15CFE"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617DE6B4" w:rsidR="00D4323A" w:rsidRPr="00CF2E7C" w:rsidRDefault="00B15CFE"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6087A68" w:rsidR="00D4323A" w:rsidRPr="00CF2E7C" w:rsidRDefault="00B15CFE"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E4CBAA6" w:rsidR="00D4323A" w:rsidRPr="00CF2E7C" w:rsidRDefault="00B15CFE" w:rsidP="00CF2E7C">
            <w:pPr>
              <w:rPr>
                <w:rFonts w:ascii="Calibri" w:hAnsi="Calibri" w:cs="Calibri"/>
              </w:rPr>
            </w:pPr>
            <w:r>
              <w:rPr>
                <w:rFonts w:ascii="Calibri" w:hAnsi="Calibri" w:cs="Calibri"/>
              </w:rPr>
              <w:t>X</w:t>
            </w: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60A16E76" w:rsidR="00D4323A" w:rsidRPr="00CF2E7C" w:rsidRDefault="00B15CFE" w:rsidP="00CF2E7C">
            <w:pPr>
              <w:rPr>
                <w:rFonts w:ascii="Calibri" w:hAnsi="Calibri" w:cs="Calibri"/>
              </w:rPr>
            </w:pPr>
            <w:r>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01D8715" w:rsidR="00D4323A" w:rsidRPr="00CF2E7C" w:rsidRDefault="00B15CFE"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7D3FB1B" w:rsidR="00D4323A" w:rsidRPr="00CF2E7C" w:rsidRDefault="00B15CFE"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A5529C6" w:rsidR="00D4323A" w:rsidRPr="00CF2E7C" w:rsidRDefault="00B15CFE"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0309182" w:rsidR="00D4323A" w:rsidRPr="00CF2E7C" w:rsidRDefault="00B15CFE"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24AF660" w:rsidR="00D4323A" w:rsidRPr="00CF2E7C" w:rsidRDefault="00B15CFE"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0DAAC06" w:rsidR="00D4323A" w:rsidRPr="00CF2E7C" w:rsidRDefault="00B15CFE"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0063248" w:rsidR="00D4323A" w:rsidRPr="00CF2E7C" w:rsidRDefault="00B15CFE"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8C3AE4E" w:rsidR="00D4323A" w:rsidRPr="00CF2E7C" w:rsidRDefault="00B15CFE"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A67B660" w:rsidR="00DD292A" w:rsidRPr="00CF2E7C" w:rsidRDefault="00873FC2"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D4BCB87" w:rsidR="00DD292A" w:rsidRPr="00CF2E7C" w:rsidRDefault="00873FC2"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7CC4211" w:rsidR="00DD292A" w:rsidRPr="00CF2E7C" w:rsidRDefault="00873FC2"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15AD7354" w:rsidR="00DD292A" w:rsidRPr="00CF2E7C" w:rsidRDefault="00407B2C"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20F3AB4" w:rsidR="00DD292A" w:rsidRPr="00CF2E7C" w:rsidRDefault="00873FC2"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3A2E0D65" w:rsidR="00DD292A" w:rsidRPr="00CF2E7C" w:rsidRDefault="00407B2C"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214DDE81" w:rsidR="00DD292A" w:rsidRPr="00CF2E7C" w:rsidRDefault="00F71C18" w:rsidP="00CF2E7C">
            <w:pPr>
              <w:rPr>
                <w:rFonts w:ascii="Calibri" w:hAnsi="Calibri" w:cs="Calibri"/>
                <w:lang w:val="sv-SE"/>
              </w:rPr>
            </w:pPr>
            <w:r w:rsidRPr="00F71C18">
              <w:rPr>
                <w:rFonts w:ascii="Calibri" w:hAnsi="Calibri" w:cs="Calibri"/>
                <w:lang w:val="sv-SE"/>
              </w:rPr>
              <w:t xml:space="preserve">The Directive establishes a mandatory threshold </w:t>
            </w:r>
            <w:r w:rsidR="00E336B0">
              <w:rPr>
                <w:rFonts w:ascii="Calibri" w:hAnsi="Calibri" w:cs="Calibri"/>
                <w:lang w:val="sv-SE"/>
              </w:rPr>
              <w:t>(</w:t>
            </w:r>
            <w:r w:rsidR="00E336B0" w:rsidRPr="00E336B0">
              <w:rPr>
                <w:rFonts w:ascii="Calibri" w:hAnsi="Calibri" w:cs="Calibri"/>
                <w:lang w:val="sv-SE"/>
              </w:rPr>
              <w:t>EUR 5 billion in consolidated assets</w:t>
            </w:r>
            <w:r w:rsidR="00E336B0">
              <w:rPr>
                <w:rFonts w:ascii="Calibri" w:hAnsi="Calibri" w:cs="Calibri"/>
                <w:lang w:val="sv-SE"/>
              </w:rPr>
              <w:t xml:space="preserve">) </w:t>
            </w:r>
            <w:r w:rsidRPr="00F71C18">
              <w:rPr>
                <w:rFonts w:ascii="Calibri" w:hAnsi="Calibri" w:cs="Calibri"/>
                <w:lang w:val="sv-SE"/>
              </w:rPr>
              <w:t>based on total value of consolidated assets for determining when a firm is subject to stricter prudential rules under Regulation (EU) No</w:t>
            </w:r>
            <w:r w:rsidR="00E336B0">
              <w:rPr>
                <w:rFonts w:ascii="Calibri" w:hAnsi="Calibri" w:cs="Calibri"/>
                <w:lang w:val="sv-SE"/>
              </w:rPr>
              <w:t>.</w:t>
            </w:r>
            <w:r w:rsidRPr="00F71C18">
              <w:rPr>
                <w:rFonts w:ascii="Calibri" w:hAnsi="Calibri" w:cs="Calibri"/>
                <w:lang w:val="sv-SE"/>
              </w:rPr>
              <w:t xml:space="preserve"> 575/2013 (CRR) rather than under the investment firm regime</w:t>
            </w:r>
            <w:r>
              <w:rPr>
                <w:rFonts w:ascii="Calibri" w:hAnsi="Calibri" w:cs="Calibri"/>
                <w:lang w:val="sv-SE"/>
              </w:rPr>
              <w:t xml:space="preserve"> (</w:t>
            </w:r>
            <w:r w:rsidR="00E336B0">
              <w:rPr>
                <w:rFonts w:ascii="Calibri" w:hAnsi="Calibri" w:cs="Calibri"/>
                <w:lang w:val="sv-SE"/>
              </w:rPr>
              <w:t>Article 5(1)</w:t>
            </w:r>
            <w:r>
              <w:rPr>
                <w:rFonts w:ascii="Calibri" w:hAnsi="Calibri" w:cs="Calibri"/>
                <w:lang w:val="sv-SE"/>
              </w:rPr>
              <w:t>)</w:t>
            </w:r>
            <w:r w:rsidRPr="00F71C18">
              <w:rPr>
                <w:rFonts w:ascii="Calibri" w:hAnsi="Calibri" w:cs="Calibri"/>
                <w:lang w:val="sv-SE"/>
              </w:rPr>
              <w:t>.</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1E8567C3" w:rsidR="00DD292A" w:rsidRPr="00CF2E7C" w:rsidRDefault="00CC447B" w:rsidP="00CF2E7C">
            <w:pPr>
              <w:rPr>
                <w:rFonts w:ascii="Calibri" w:hAnsi="Calibri" w:cs="Calibri"/>
              </w:rPr>
            </w:pPr>
            <w:r w:rsidRPr="00CC447B">
              <w:rPr>
                <w:rFonts w:ascii="Calibri" w:hAnsi="Calibri" w:cs="Calibri"/>
              </w:rPr>
              <w:t>The Directive applies to investment firms authorised under MiFID II, which presupposes the firm is headquartered (or authorised to operate) in an EU Member State</w:t>
            </w:r>
            <w:r>
              <w:rPr>
                <w:rFonts w:ascii="Calibri" w:hAnsi="Calibri" w:cs="Calibri"/>
              </w:rPr>
              <w:t xml:space="preserve"> (Article 2(1))</w:t>
            </w:r>
            <w:r w:rsidRPr="00CC447B">
              <w:rPr>
                <w:rFonts w:ascii="Calibri" w:hAnsi="Calibri" w:cs="Calibri"/>
              </w:rPr>
              <w:t>.</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2784B54F" w14:textId="77777777" w:rsidR="00A00CC5" w:rsidRDefault="001645C9" w:rsidP="00CF2E7C">
            <w:pPr>
              <w:rPr>
                <w:rFonts w:ascii="Calibri" w:hAnsi="Calibri" w:cs="Calibri"/>
              </w:rPr>
            </w:pPr>
            <w:r w:rsidRPr="001645C9">
              <w:rPr>
                <w:rFonts w:ascii="Calibri" w:hAnsi="Calibri" w:cs="Calibri"/>
              </w:rPr>
              <w:t>Other threshold-based criteria are used to distinguish whether an investment firm qualifies as “small and non-interconnected”, triggering simplified obligations or exemptions</w:t>
            </w:r>
            <w:r w:rsidR="00DD4B2D">
              <w:rPr>
                <w:rFonts w:ascii="Calibri" w:hAnsi="Calibri" w:cs="Calibri"/>
              </w:rPr>
              <w:t xml:space="preserve">. </w:t>
            </w:r>
          </w:p>
          <w:p w14:paraId="00B7C4FE" w14:textId="6CD37BF3" w:rsidR="00DD292A" w:rsidRPr="00CF2E7C" w:rsidRDefault="00DD4B2D" w:rsidP="00CF2E7C">
            <w:pPr>
              <w:rPr>
                <w:rFonts w:ascii="Calibri" w:hAnsi="Calibri" w:cs="Calibri"/>
              </w:rPr>
            </w:pPr>
            <w:r w:rsidRPr="00DD4B2D">
              <w:rPr>
                <w:rFonts w:ascii="Calibri" w:hAnsi="Calibri" w:cs="Calibri"/>
              </w:rPr>
              <w:t>This classification is mentioned in Articles 24(1) and 25(1) and (3), which refer directly to Article 12(1) of Regulation (EU) 2019/2033. That Regulation (not included in this Directive but explicitly cross-referenced) sets out the specific quantitative thresholds</w:t>
            </w:r>
            <w:r w:rsidR="00A00CC5">
              <w:rPr>
                <w:rFonts w:ascii="Calibri" w:hAnsi="Calibri" w:cs="Calibri"/>
              </w:rPr>
              <w:t xml:space="preserve">, </w:t>
            </w:r>
            <w:r w:rsidRPr="00DD4B2D">
              <w:rPr>
                <w:rFonts w:ascii="Calibri" w:hAnsi="Calibri" w:cs="Calibri"/>
              </w:rPr>
              <w:t>such as limits on total assets, client assets under management, and trading volumes</w:t>
            </w:r>
            <w:r w:rsidR="00A00CC5">
              <w:rPr>
                <w:rFonts w:ascii="Calibri" w:hAnsi="Calibri" w:cs="Calibri"/>
              </w:rPr>
              <w:t xml:space="preserve">, </w:t>
            </w:r>
            <w:r w:rsidRPr="00DD4B2D">
              <w:rPr>
                <w:rFonts w:ascii="Calibri" w:hAnsi="Calibri" w:cs="Calibri"/>
              </w:rPr>
              <w:t>that determine whether a firm falls into the "small and non-interconnected" category.</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250D6142" w:rsidR="00DD292A" w:rsidRPr="00CF2E7C" w:rsidRDefault="00E233DF"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DD3080D" w:rsidR="00DD3B33" w:rsidRPr="00CF2E7C" w:rsidRDefault="00E233DF"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lastRenderedPageBreak/>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3E8BE15" w:rsidR="00DD3B33" w:rsidRPr="00CF2E7C" w:rsidRDefault="00E233DF"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2D0D990" w:rsidR="00DD3B33" w:rsidRPr="00CF2E7C" w:rsidRDefault="00E233DF"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482820D5" w:rsidR="00DD3B33" w:rsidRPr="00CF2E7C" w:rsidRDefault="001C721B"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6B9401E3" w14:textId="54327DA4" w:rsidR="001C721B" w:rsidRDefault="001C721B" w:rsidP="00CF2E7C">
            <w:pPr>
              <w:rPr>
                <w:rFonts w:ascii="Calibri" w:hAnsi="Calibri" w:cs="Calibri"/>
              </w:rPr>
            </w:pPr>
            <w:r>
              <w:rPr>
                <w:rFonts w:ascii="Calibri" w:hAnsi="Calibri" w:cs="Calibri"/>
              </w:rPr>
              <w:t>- Monetary fine</w:t>
            </w:r>
            <w:r w:rsidR="00A50ADF">
              <w:rPr>
                <w:rFonts w:ascii="Calibri" w:hAnsi="Calibri" w:cs="Calibri"/>
              </w:rPr>
              <w:t xml:space="preserve"> (Article 18(2)(d)</w:t>
            </w:r>
            <w:r w:rsidR="000846C0">
              <w:rPr>
                <w:rFonts w:ascii="Calibri" w:hAnsi="Calibri" w:cs="Calibri"/>
              </w:rPr>
              <w:t>-(f)</w:t>
            </w:r>
            <w:r w:rsidR="00A50ADF">
              <w:rPr>
                <w:rFonts w:ascii="Calibri" w:hAnsi="Calibri" w:cs="Calibri"/>
              </w:rPr>
              <w:t>)</w:t>
            </w:r>
          </w:p>
          <w:p w14:paraId="10D006A1" w14:textId="252BED19" w:rsidR="001C721B" w:rsidRDefault="00A50ADF" w:rsidP="00A50ADF">
            <w:pPr>
              <w:rPr>
                <w:rFonts w:ascii="Calibri" w:hAnsi="Calibri" w:cs="Calibri"/>
              </w:rPr>
            </w:pPr>
            <w:r w:rsidRPr="00A50ADF">
              <w:rPr>
                <w:rFonts w:ascii="Calibri" w:hAnsi="Calibri" w:cs="Calibri"/>
              </w:rPr>
              <w:t>The Directive allows for administrative pecuniary sanctions:</w:t>
            </w:r>
            <w:r>
              <w:rPr>
                <w:rFonts w:ascii="Calibri" w:hAnsi="Calibri" w:cs="Calibri"/>
              </w:rPr>
              <w:t xml:space="preserve"> u</w:t>
            </w:r>
            <w:r w:rsidRPr="00A50ADF">
              <w:rPr>
                <w:rFonts w:ascii="Calibri" w:hAnsi="Calibri" w:cs="Calibri"/>
              </w:rPr>
              <w:t>p to 10% of the total annual net turnover for legal persons</w:t>
            </w:r>
            <w:r>
              <w:rPr>
                <w:rFonts w:ascii="Calibri" w:hAnsi="Calibri" w:cs="Calibri"/>
              </w:rPr>
              <w:t>; u</w:t>
            </w:r>
            <w:r w:rsidRPr="00A50ADF">
              <w:rPr>
                <w:rFonts w:ascii="Calibri" w:hAnsi="Calibri" w:cs="Calibri"/>
              </w:rPr>
              <w:t>p to EUR 5 million for natural persons</w:t>
            </w:r>
            <w:r>
              <w:rPr>
                <w:rFonts w:ascii="Calibri" w:hAnsi="Calibri" w:cs="Calibri"/>
              </w:rPr>
              <w:t>; u</w:t>
            </w:r>
            <w:r w:rsidRPr="00A50ADF">
              <w:rPr>
                <w:rFonts w:ascii="Calibri" w:hAnsi="Calibri" w:cs="Calibri"/>
              </w:rPr>
              <w:t>p to twice the profits gained or losses avoided due to the breach, if those can be determined</w:t>
            </w:r>
            <w:r>
              <w:rPr>
                <w:rFonts w:ascii="Calibri" w:hAnsi="Calibri" w:cs="Calibri"/>
              </w:rPr>
              <w:t>.</w:t>
            </w:r>
          </w:p>
          <w:p w14:paraId="5DF15A68" w14:textId="28D77A81" w:rsidR="001C721B" w:rsidRDefault="001C721B" w:rsidP="00CF2E7C">
            <w:pPr>
              <w:rPr>
                <w:rFonts w:ascii="Calibri" w:hAnsi="Calibri" w:cs="Calibri"/>
              </w:rPr>
            </w:pPr>
            <w:r>
              <w:rPr>
                <w:rFonts w:ascii="Calibri" w:hAnsi="Calibri" w:cs="Calibri"/>
              </w:rPr>
              <w:t xml:space="preserve">- </w:t>
            </w:r>
            <w:r w:rsidRPr="00CF2E7C">
              <w:rPr>
                <w:rFonts w:ascii="Calibri" w:hAnsi="Calibri" w:cs="Calibri"/>
              </w:rPr>
              <w:t>Restriction on business activities</w:t>
            </w:r>
            <w:r w:rsidR="0076549C">
              <w:rPr>
                <w:rFonts w:ascii="Calibri" w:hAnsi="Calibri" w:cs="Calibri"/>
              </w:rPr>
              <w:t xml:space="preserve"> (</w:t>
            </w:r>
            <w:r w:rsidR="0076549C" w:rsidRPr="0076549C">
              <w:rPr>
                <w:rFonts w:ascii="Calibri" w:hAnsi="Calibri" w:cs="Calibri"/>
              </w:rPr>
              <w:t>Article 18(2)(b)</w:t>
            </w:r>
            <w:r w:rsidR="0076549C">
              <w:rPr>
                <w:rFonts w:ascii="Calibri" w:hAnsi="Calibri" w:cs="Calibri"/>
              </w:rPr>
              <w:t>-</w:t>
            </w:r>
            <w:r w:rsidR="0076549C" w:rsidRPr="0076549C">
              <w:rPr>
                <w:rFonts w:ascii="Calibri" w:hAnsi="Calibri" w:cs="Calibri"/>
              </w:rPr>
              <w:t>(c)</w:t>
            </w:r>
            <w:r w:rsidR="0076549C">
              <w:rPr>
                <w:rFonts w:ascii="Calibri" w:hAnsi="Calibri" w:cs="Calibri"/>
              </w:rPr>
              <w:t>)</w:t>
            </w:r>
          </w:p>
          <w:p w14:paraId="6FAF63C9" w14:textId="6565FFDF" w:rsidR="00B11D7D" w:rsidRDefault="00B11D7D" w:rsidP="00B11D7D">
            <w:pPr>
              <w:rPr>
                <w:rFonts w:ascii="Calibri" w:hAnsi="Calibri" w:cs="Calibri"/>
              </w:rPr>
            </w:pPr>
            <w:r w:rsidRPr="00B11D7D">
              <w:rPr>
                <w:rFonts w:ascii="Calibri" w:hAnsi="Calibri" w:cs="Calibri"/>
              </w:rPr>
              <w:t>Competent authorities may issue an order to cease and desist from unlawful conduct</w:t>
            </w:r>
            <w:r w:rsidR="0076549C">
              <w:rPr>
                <w:rFonts w:ascii="Calibri" w:hAnsi="Calibri" w:cs="Calibri"/>
              </w:rPr>
              <w:t xml:space="preserve">. </w:t>
            </w:r>
            <w:r w:rsidRPr="00B11D7D">
              <w:rPr>
                <w:rFonts w:ascii="Calibri" w:hAnsi="Calibri" w:cs="Calibri"/>
              </w:rPr>
              <w:t>They may also impose a temporary ban on individuals from performing management function</w:t>
            </w:r>
            <w:r w:rsidR="0076549C">
              <w:rPr>
                <w:rFonts w:ascii="Calibri" w:hAnsi="Calibri" w:cs="Calibri"/>
              </w:rPr>
              <w:t>.</w:t>
            </w:r>
          </w:p>
          <w:p w14:paraId="5D847080" w14:textId="1EC60906" w:rsidR="001C721B" w:rsidRPr="003E5BEE" w:rsidRDefault="001C721B" w:rsidP="003E5BEE">
            <w:pPr>
              <w:rPr>
                <w:rFonts w:ascii="Calibri" w:hAnsi="Calibri" w:cs="Calibri"/>
                <w:lang w:val="en-US"/>
              </w:rPr>
            </w:pPr>
            <w:r>
              <w:rPr>
                <w:rFonts w:ascii="Calibri" w:hAnsi="Calibri" w:cs="Calibri"/>
              </w:rPr>
              <w:t xml:space="preserve">- </w:t>
            </w:r>
            <w:r w:rsidRPr="00CF2E7C">
              <w:rPr>
                <w:rFonts w:ascii="Calibri" w:hAnsi="Calibri" w:cs="Calibri"/>
              </w:rPr>
              <w:t>Penalty for senior managers</w:t>
            </w:r>
            <w:r w:rsidR="003E5BEE">
              <w:rPr>
                <w:rFonts w:ascii="Calibri" w:hAnsi="Calibri" w:cs="Calibri"/>
              </w:rPr>
              <w:t xml:space="preserve"> (</w:t>
            </w:r>
            <w:r w:rsidR="003E5BEE" w:rsidRPr="003E5BEE">
              <w:rPr>
                <w:rFonts w:ascii="Calibri" w:hAnsi="Calibri" w:cs="Calibri"/>
                <w:lang w:val="en-US"/>
              </w:rPr>
              <w:t>Article 18(</w:t>
            </w:r>
            <w:r w:rsidR="00736347">
              <w:rPr>
                <w:rFonts w:ascii="Calibri" w:hAnsi="Calibri" w:cs="Calibri"/>
                <w:lang w:val="en-US"/>
              </w:rPr>
              <w:t>2</w:t>
            </w:r>
            <w:r w:rsidR="003E5BEE" w:rsidRPr="003E5BEE">
              <w:rPr>
                <w:rFonts w:ascii="Calibri" w:hAnsi="Calibri" w:cs="Calibri"/>
                <w:lang w:val="en-US"/>
              </w:rPr>
              <w:t>), final paragraph</w:t>
            </w:r>
            <w:r w:rsidR="003E5BEE" w:rsidRPr="003E5BEE">
              <w:rPr>
                <w:rFonts w:ascii="Calibri" w:hAnsi="Calibri" w:cs="Calibri"/>
              </w:rPr>
              <w:t>)</w:t>
            </w:r>
          </w:p>
          <w:p w14:paraId="64867DC2" w14:textId="44EDDAB1" w:rsidR="0076549C" w:rsidRDefault="003C2EDD" w:rsidP="00CF2E7C">
            <w:pPr>
              <w:rPr>
                <w:rFonts w:ascii="Calibri" w:hAnsi="Calibri" w:cs="Calibri"/>
              </w:rPr>
            </w:pPr>
            <w:r w:rsidRPr="003C2EDD">
              <w:rPr>
                <w:rFonts w:ascii="Calibri" w:hAnsi="Calibri" w:cs="Calibri"/>
              </w:rPr>
              <w:t>Sanctions may apply to members of the management body or other responsible natural persons</w:t>
            </w:r>
            <w:r>
              <w:rPr>
                <w:rFonts w:ascii="Calibri" w:hAnsi="Calibri" w:cs="Calibri"/>
              </w:rPr>
              <w:t>.</w:t>
            </w:r>
          </w:p>
          <w:p w14:paraId="273B513B" w14:textId="32E5889D" w:rsidR="001C721B" w:rsidRDefault="001C721B" w:rsidP="00CF2E7C">
            <w:pPr>
              <w:rPr>
                <w:rFonts w:ascii="Calibri" w:hAnsi="Calibri" w:cs="Calibri"/>
              </w:rPr>
            </w:pPr>
            <w:r>
              <w:rPr>
                <w:rFonts w:ascii="Calibri" w:hAnsi="Calibri" w:cs="Calibri"/>
              </w:rPr>
              <w:t>- Other</w:t>
            </w:r>
            <w:r w:rsidR="00FF2CFF">
              <w:rPr>
                <w:rFonts w:ascii="Calibri" w:hAnsi="Calibri" w:cs="Calibri"/>
              </w:rPr>
              <w:t xml:space="preserve"> (Article 18(2)(a))</w:t>
            </w:r>
          </w:p>
          <w:p w14:paraId="496F7156" w14:textId="60474F6F" w:rsidR="00FF2CFF" w:rsidRPr="00CF2E7C" w:rsidRDefault="00FF2CFF" w:rsidP="00CF2E7C">
            <w:pPr>
              <w:rPr>
                <w:rFonts w:ascii="Calibri" w:hAnsi="Calibri" w:cs="Calibri"/>
              </w:rPr>
            </w:pPr>
            <w:r w:rsidRPr="00FF2CFF">
              <w:rPr>
                <w:rFonts w:ascii="Calibri" w:hAnsi="Calibri" w:cs="Calibri"/>
              </w:rPr>
              <w:lastRenderedPageBreak/>
              <w:t>The Directive allows for a public statement identifying the infringing party and nature of the breach</w:t>
            </w:r>
            <w:r>
              <w:rPr>
                <w:rFonts w:ascii="Calibri" w:hAnsi="Calibri" w:cs="Calibri"/>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655CCF34" w:rsidR="00DD292A" w:rsidRPr="00CF2E7C" w:rsidRDefault="0085322B"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3168639" w:rsidR="00DD292A" w:rsidRPr="00CF2E7C" w:rsidRDefault="00223F6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70569CD3" w:rsidR="00410853" w:rsidRPr="00CF2E7C" w:rsidRDefault="001A6F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F4FC77F" w14:textId="77777777" w:rsidR="000D63F3" w:rsidRPr="000D63F3" w:rsidRDefault="000D63F3" w:rsidP="000D63F3">
            <w:pPr>
              <w:textAlignment w:val="baseline"/>
              <w:rPr>
                <w:rFonts w:ascii="Calibri" w:eastAsia="Times New Roman" w:hAnsi="Calibri" w:cs="Calibri"/>
                <w:kern w:val="0"/>
                <w:lang w:eastAsia="en-GB"/>
                <w14:ligatures w14:val="none"/>
              </w:rPr>
            </w:pPr>
            <w:r w:rsidRPr="000D63F3">
              <w:rPr>
                <w:rFonts w:ascii="Calibri" w:eastAsia="Times New Roman" w:hAnsi="Calibri" w:cs="Calibri"/>
                <w:kern w:val="0"/>
                <w:lang w:eastAsia="en-GB"/>
                <w14:ligatures w14:val="none"/>
              </w:rPr>
              <w:t>The primary objectives of the Directive are related to the prudential supervision of investment firms more broadly, including:</w:t>
            </w:r>
          </w:p>
          <w:p w14:paraId="4086F04F" w14:textId="4621FAB9" w:rsidR="000D63F3" w:rsidRPr="000D63F3" w:rsidRDefault="000D63F3" w:rsidP="000D63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0D63F3">
              <w:rPr>
                <w:rFonts w:ascii="Calibri" w:eastAsia="Times New Roman" w:hAnsi="Calibri" w:cs="Calibri"/>
                <w:kern w:val="0"/>
                <w:lang w:eastAsia="en-GB"/>
                <w14:ligatures w14:val="none"/>
              </w:rPr>
              <w:t>Capital requirements (Article</w:t>
            </w:r>
            <w:r>
              <w:rPr>
                <w:rFonts w:ascii="Calibri" w:eastAsia="Times New Roman" w:hAnsi="Calibri" w:cs="Calibri"/>
                <w:kern w:val="0"/>
                <w:lang w:eastAsia="en-GB"/>
                <w14:ligatures w14:val="none"/>
              </w:rPr>
              <w:t>s</w:t>
            </w:r>
            <w:r w:rsidRPr="000D63F3">
              <w:rPr>
                <w:rFonts w:ascii="Calibri" w:eastAsia="Times New Roman" w:hAnsi="Calibri" w:cs="Calibri"/>
                <w:kern w:val="0"/>
                <w:lang w:eastAsia="en-GB"/>
                <w14:ligatures w14:val="none"/>
              </w:rPr>
              <w:t xml:space="preserve"> 9</w:t>
            </w:r>
            <w:r>
              <w:rPr>
                <w:rFonts w:ascii="Calibri" w:eastAsia="Times New Roman" w:hAnsi="Calibri" w:cs="Calibri"/>
                <w:kern w:val="0"/>
                <w:lang w:eastAsia="en-GB"/>
                <w14:ligatures w14:val="none"/>
              </w:rPr>
              <w:t>-</w:t>
            </w:r>
            <w:r w:rsidRPr="000D63F3">
              <w:rPr>
                <w:rFonts w:ascii="Calibri" w:eastAsia="Times New Roman" w:hAnsi="Calibri" w:cs="Calibri"/>
                <w:kern w:val="0"/>
                <w:lang w:eastAsia="en-GB"/>
                <w14:ligatures w14:val="none"/>
              </w:rPr>
              <w:t>11</w:t>
            </w:r>
            <w:proofErr w:type="gramStart"/>
            <w:r w:rsidRPr="000D63F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roofErr w:type="gramEnd"/>
          </w:p>
          <w:p w14:paraId="13BDCCE9" w14:textId="23055B43" w:rsidR="000D63F3" w:rsidRPr="000D63F3" w:rsidRDefault="000D63F3" w:rsidP="000D63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0D63F3">
              <w:rPr>
                <w:rFonts w:ascii="Calibri" w:eastAsia="Times New Roman" w:hAnsi="Calibri" w:cs="Calibri"/>
                <w:kern w:val="0"/>
                <w:lang w:eastAsia="en-GB"/>
                <w14:ligatures w14:val="none"/>
              </w:rPr>
              <w:t>Governance and internal control (Article 26</w:t>
            </w:r>
            <w:proofErr w:type="gramStart"/>
            <w:r w:rsidRPr="000D63F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roofErr w:type="gramEnd"/>
          </w:p>
          <w:p w14:paraId="61955BDF" w14:textId="4FA42E33" w:rsidR="000D63F3" w:rsidRPr="000D63F3" w:rsidRDefault="000D63F3" w:rsidP="000D63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0D63F3">
              <w:rPr>
                <w:rFonts w:ascii="Calibri" w:eastAsia="Times New Roman" w:hAnsi="Calibri" w:cs="Calibri"/>
                <w:kern w:val="0"/>
                <w:lang w:eastAsia="en-GB"/>
                <w14:ligatures w14:val="none"/>
              </w:rPr>
              <w:t>Risk management (Articles 28</w:t>
            </w:r>
            <w:r>
              <w:rPr>
                <w:rFonts w:ascii="Calibri" w:eastAsia="Times New Roman" w:hAnsi="Calibri" w:cs="Calibri"/>
                <w:kern w:val="0"/>
                <w:lang w:eastAsia="en-GB"/>
                <w14:ligatures w14:val="none"/>
              </w:rPr>
              <w:t>-</w:t>
            </w:r>
            <w:r w:rsidRPr="000D63F3">
              <w:rPr>
                <w:rFonts w:ascii="Calibri" w:eastAsia="Times New Roman" w:hAnsi="Calibri" w:cs="Calibri"/>
                <w:kern w:val="0"/>
                <w:lang w:eastAsia="en-GB"/>
                <w14:ligatures w14:val="none"/>
              </w:rPr>
              <w:t>29</w:t>
            </w:r>
            <w:proofErr w:type="gramStart"/>
            <w:r w:rsidRPr="000D63F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roofErr w:type="gramEnd"/>
          </w:p>
          <w:p w14:paraId="12741D2B" w14:textId="516BD0E8" w:rsidR="000D63F3" w:rsidRPr="000D63F3" w:rsidRDefault="000D63F3" w:rsidP="000D63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0D63F3">
              <w:rPr>
                <w:rFonts w:ascii="Calibri" w:eastAsia="Times New Roman" w:hAnsi="Calibri" w:cs="Calibri"/>
                <w:kern w:val="0"/>
                <w:lang w:eastAsia="en-GB"/>
                <w14:ligatures w14:val="none"/>
              </w:rPr>
              <w:t>Supervisory cooperation and enforcement (Articles 4</w:t>
            </w:r>
            <w:r>
              <w:rPr>
                <w:rFonts w:ascii="Calibri" w:eastAsia="Times New Roman" w:hAnsi="Calibri" w:cs="Calibri"/>
                <w:kern w:val="0"/>
                <w:lang w:eastAsia="en-GB"/>
                <w14:ligatures w14:val="none"/>
              </w:rPr>
              <w:t>-</w:t>
            </w:r>
            <w:r w:rsidRPr="000D63F3">
              <w:rPr>
                <w:rFonts w:ascii="Calibri" w:eastAsia="Times New Roman" w:hAnsi="Calibri" w:cs="Calibri"/>
                <w:kern w:val="0"/>
                <w:lang w:eastAsia="en-GB"/>
                <w14:ligatures w14:val="none"/>
              </w:rPr>
              <w:t>23)</w:t>
            </w:r>
            <w:r>
              <w:rPr>
                <w:rFonts w:ascii="Calibri" w:eastAsia="Times New Roman" w:hAnsi="Calibri" w:cs="Calibri"/>
                <w:kern w:val="0"/>
                <w:lang w:eastAsia="en-GB"/>
                <w14:ligatures w14:val="none"/>
              </w:rPr>
              <w:t>.</w:t>
            </w:r>
          </w:p>
          <w:p w14:paraId="127308B5" w14:textId="13739168" w:rsidR="00410853" w:rsidRPr="00CF2E7C" w:rsidRDefault="000D63F3" w:rsidP="000D63F3">
            <w:pPr>
              <w:textAlignment w:val="baseline"/>
              <w:rPr>
                <w:rFonts w:ascii="Calibri" w:eastAsia="Times New Roman" w:hAnsi="Calibri" w:cs="Calibri"/>
                <w:kern w:val="0"/>
                <w:lang w:eastAsia="en-GB"/>
                <w14:ligatures w14:val="none"/>
              </w:rPr>
            </w:pPr>
            <w:r w:rsidRPr="000D63F3">
              <w:rPr>
                <w:rFonts w:ascii="Calibri" w:eastAsia="Times New Roman" w:hAnsi="Calibri" w:cs="Calibri"/>
                <w:kern w:val="0"/>
                <w:lang w:eastAsia="en-GB"/>
                <w14:ligatures w14:val="none"/>
              </w:rPr>
              <w:t>While risk management systems must cover all material risks (Article 29), the Directive does not explicitly address climate-related risks or require stress-testing, capital adjustments</w:t>
            </w:r>
            <w:r w:rsidR="005077A1">
              <w:rPr>
                <w:rFonts w:ascii="Calibri" w:eastAsia="Times New Roman" w:hAnsi="Calibri" w:cs="Calibri"/>
                <w:kern w:val="0"/>
                <w:lang w:eastAsia="en-GB"/>
                <w14:ligatures w14:val="none"/>
              </w:rPr>
              <w:t xml:space="preserve"> </w:t>
            </w:r>
            <w:r w:rsidRPr="000D63F3">
              <w:rPr>
                <w:rFonts w:ascii="Calibri" w:eastAsia="Times New Roman" w:hAnsi="Calibri" w:cs="Calibri"/>
                <w:kern w:val="0"/>
                <w:lang w:eastAsia="en-GB"/>
                <w14:ligatures w14:val="none"/>
              </w:rPr>
              <w:t>or governance measures specific to climate.</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F87C777" w:rsidR="00F632FB" w:rsidRPr="00CF2E7C" w:rsidRDefault="005077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6FC17D2" w:rsidR="00F632FB" w:rsidRPr="00CF2E7C" w:rsidRDefault="005077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02A99F2" w:rsidR="00F632FB" w:rsidRPr="00CF2E7C" w:rsidRDefault="005077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5D60BDC4" w:rsidR="00F632FB" w:rsidRPr="00CF2E7C" w:rsidRDefault="005077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1EFFE8C" w14:textId="789286B0" w:rsidR="00166DB0" w:rsidRPr="00166DB0" w:rsidRDefault="00166DB0" w:rsidP="00166DB0">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166DB0">
              <w:rPr>
                <w:rFonts w:ascii="Calibri" w:eastAsia="Times New Roman" w:hAnsi="Calibri" w:cs="Calibri"/>
                <w:kern w:val="0"/>
                <w:lang w:eastAsia="en-GB"/>
                <w14:ligatures w14:val="none"/>
              </w:rPr>
              <w:t>he Directive focuses on prudential risks in general, such as</w:t>
            </w:r>
            <w:r>
              <w:rPr>
                <w:rFonts w:ascii="Calibri" w:eastAsia="Times New Roman" w:hAnsi="Calibri" w:cs="Calibri"/>
                <w:kern w:val="0"/>
                <w:lang w:eastAsia="en-GB"/>
                <w14:ligatures w14:val="none"/>
              </w:rPr>
              <w:t xml:space="preserve"> credit risk, market risk, liquidity risk, concentration risk, operational risk (Article 29(1)).</w:t>
            </w:r>
          </w:p>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0463FD4F" w:rsidR="008C4722" w:rsidRPr="00CF2E7C" w:rsidRDefault="005D50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5E223322" w:rsidR="007B7DEE" w:rsidRPr="00CF2E7C" w:rsidRDefault="00551E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5E42C90" w:rsidR="00ED7E12" w:rsidRPr="00CF2E7C" w:rsidRDefault="00314B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D620EF1" w:rsidR="00ED7E12" w:rsidRPr="00CF2E7C" w:rsidRDefault="00314B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D90CB59" w14:textId="77777777" w:rsidR="00ED7E12" w:rsidRDefault="00BD11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BD1169">
              <w:rPr>
                <w:rFonts w:ascii="Calibri" w:eastAsia="Times New Roman" w:hAnsi="Calibri" w:cs="Calibri"/>
                <w:kern w:val="0"/>
                <w:lang w:eastAsia="en-GB"/>
                <w14:ligatures w14:val="none"/>
              </w:rPr>
              <w:t>Self-reporting by targeted entities</w:t>
            </w:r>
          </w:p>
          <w:p w14:paraId="450D3C1E" w14:textId="6CCBD51D" w:rsidR="00FA1BCE" w:rsidRDefault="00D4554B" w:rsidP="00CF2E7C">
            <w:pPr>
              <w:textAlignment w:val="baseline"/>
              <w:rPr>
                <w:rFonts w:ascii="Calibri" w:eastAsia="Times New Roman" w:hAnsi="Calibri" w:cs="Calibri"/>
                <w:kern w:val="0"/>
                <w:lang w:eastAsia="en-GB"/>
                <w14:ligatures w14:val="none"/>
              </w:rPr>
            </w:pPr>
            <w:r w:rsidRPr="00D4554B">
              <w:rPr>
                <w:rFonts w:ascii="Calibri" w:eastAsia="Times New Roman" w:hAnsi="Calibri" w:cs="Calibri"/>
                <w:kern w:val="0"/>
                <w:lang w:eastAsia="en-GB"/>
                <w14:ligatures w14:val="none"/>
              </w:rPr>
              <w:t>Investment firms are under an ongoing obligation to facilitate supervisory review by providing all necessary information to their competent authorities (Article 4(5)).</w:t>
            </w:r>
            <w:r w:rsidR="006653B7">
              <w:t xml:space="preserve"> </w:t>
            </w:r>
            <w:r w:rsidR="006653B7" w:rsidRPr="006653B7">
              <w:rPr>
                <w:rFonts w:ascii="Calibri" w:eastAsia="Times New Roman" w:hAnsi="Calibri" w:cs="Calibri"/>
                <w:kern w:val="0"/>
                <w:lang w:eastAsia="en-GB"/>
                <w14:ligatures w14:val="none"/>
              </w:rPr>
              <w:t>This includes establishing robust internal control mechanisms and administrative procedures that enable continuous assessment of compliance. Firms must keep comprehensive records of transactions and maintain up-to-date documentation on systems and processes that fall within the scope of the Directive and Regulation (EU) 2019/2033 (Article 4(6)).</w:t>
            </w:r>
          </w:p>
          <w:p w14:paraId="43EB7BB2" w14:textId="77777777" w:rsidR="00BD1169" w:rsidRDefault="00BD11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BD1169">
              <w:rPr>
                <w:rFonts w:ascii="Calibri" w:eastAsia="Times New Roman" w:hAnsi="Calibri" w:cs="Calibri"/>
                <w:kern w:val="0"/>
                <w:lang w:eastAsia="en-GB"/>
                <w14:ligatures w14:val="none"/>
              </w:rPr>
              <w:t>Regulatory oversight by financial supervisor</w:t>
            </w:r>
          </w:p>
          <w:p w14:paraId="4DD1C6AC" w14:textId="77777777" w:rsidR="00FA1BCE" w:rsidRDefault="00ED5CC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Pr="00ED5CC1">
              <w:rPr>
                <w:rFonts w:ascii="Calibri" w:eastAsia="Times New Roman" w:hAnsi="Calibri" w:cs="Calibri"/>
                <w:kern w:val="0"/>
                <w:lang w:eastAsia="en-GB"/>
                <w14:ligatures w14:val="none"/>
              </w:rPr>
              <w:t>Directive assigns national competent authorities the responsibility to supervise investment firms for compliance with both the Directive itself and Regulation (EU) 2019/2033 (Article 4(2)).</w:t>
            </w:r>
            <w:r w:rsidR="005F0CCB">
              <w:rPr>
                <w:rFonts w:ascii="Calibri" w:eastAsia="Times New Roman" w:hAnsi="Calibri" w:cs="Calibri"/>
                <w:kern w:val="0"/>
                <w:lang w:eastAsia="en-GB"/>
                <w14:ligatures w14:val="none"/>
              </w:rPr>
              <w:t xml:space="preserve"> T</w:t>
            </w:r>
            <w:r w:rsidR="005F0CCB" w:rsidRPr="005F0CCB">
              <w:rPr>
                <w:rFonts w:ascii="Calibri" w:eastAsia="Times New Roman" w:hAnsi="Calibri" w:cs="Calibri"/>
                <w:kern w:val="0"/>
                <w:lang w:eastAsia="en-GB"/>
                <w14:ligatures w14:val="none"/>
              </w:rPr>
              <w:t>o carry out this task, authorities are given broad investigatory powers, including the ability to conduct on-site inspections, request documents and data, examine internal records and interview relevant individuals (Articles 4(3) and 19).</w:t>
            </w:r>
          </w:p>
          <w:p w14:paraId="42FF8A1B" w14:textId="13CD0436" w:rsidR="00A265D9" w:rsidRPr="00CF2E7C" w:rsidRDefault="00A265D9" w:rsidP="00CF2E7C">
            <w:pPr>
              <w:textAlignment w:val="baseline"/>
              <w:rPr>
                <w:rFonts w:ascii="Calibri" w:eastAsia="Times New Roman" w:hAnsi="Calibri" w:cs="Calibri"/>
                <w:kern w:val="0"/>
                <w:lang w:eastAsia="en-GB"/>
                <w14:ligatures w14:val="none"/>
              </w:rPr>
            </w:pPr>
            <w:r w:rsidRPr="00A265D9">
              <w:rPr>
                <w:rFonts w:ascii="Calibri" w:eastAsia="Times New Roman" w:hAnsi="Calibri" w:cs="Calibri"/>
                <w:kern w:val="0"/>
                <w:lang w:eastAsia="en-GB"/>
                <w14:ligatures w14:val="none"/>
              </w:rPr>
              <w:t>In addition to domestic oversight, the Directive enables cross-border supervision. Authorities from the home Member State may carry out on-the-spot checks at branches established in other Member States, after notifying the host authority. Host Member State authorities may also inspect branches on their territory where relevant to financial stability (Article 14).</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5F2E2E3" w14:textId="61923A03" w:rsidR="00702413" w:rsidRDefault="005C7E9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Limited data and modelling tools</w:t>
            </w:r>
          </w:p>
          <w:p w14:paraId="0D17049D" w14:textId="77777777" w:rsidR="005C7E95" w:rsidRDefault="00A564EA" w:rsidP="00CF2E7C">
            <w:pPr>
              <w:textAlignment w:val="baseline"/>
              <w:rPr>
                <w:rFonts w:eastAsia="Times New Roman" w:cstheme="minorHAnsi"/>
                <w:kern w:val="0"/>
                <w:lang w:eastAsia="en-GB"/>
                <w14:ligatures w14:val="none"/>
              </w:rPr>
            </w:pPr>
            <w:r w:rsidRPr="00A564EA">
              <w:rPr>
                <w:rFonts w:eastAsia="Times New Roman" w:cstheme="minorHAnsi"/>
                <w:kern w:val="0"/>
                <w:lang w:eastAsia="en-GB"/>
                <w14:ligatures w14:val="none"/>
              </w:rPr>
              <w:t>Current prudential frameworks rely heavily on historical data and backward-looking models, but climate risks</w:t>
            </w:r>
            <w:r>
              <w:rPr>
                <w:rFonts w:eastAsia="Times New Roman" w:cstheme="minorHAnsi"/>
                <w:kern w:val="0"/>
                <w:lang w:eastAsia="en-GB"/>
                <w14:ligatures w14:val="none"/>
              </w:rPr>
              <w:t xml:space="preserve"> </w:t>
            </w:r>
            <w:r w:rsidRPr="00A564EA">
              <w:rPr>
                <w:rFonts w:eastAsia="Times New Roman" w:cstheme="minorHAnsi"/>
                <w:kern w:val="0"/>
                <w:lang w:eastAsia="en-GB"/>
                <w14:ligatures w14:val="none"/>
              </w:rPr>
              <w:t>are forward-looking, uncertain and often non-linear. This mismatch makes it hard to accurately assess and quantify climate-related exposures</w:t>
            </w:r>
            <w:r>
              <w:rPr>
                <w:rFonts w:eastAsia="Times New Roman" w:cstheme="minorHAnsi"/>
                <w:kern w:val="0"/>
                <w:lang w:eastAsia="en-GB"/>
                <w14:ligatures w14:val="none"/>
              </w:rPr>
              <w:t>.</w:t>
            </w:r>
          </w:p>
          <w:p w14:paraId="398EB142" w14:textId="3598BBDF" w:rsidR="00A564EA" w:rsidRDefault="00A564E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7A0F86">
              <w:rPr>
                <w:rFonts w:eastAsia="Times New Roman" w:cstheme="minorHAnsi"/>
                <w:kern w:val="0"/>
                <w:lang w:eastAsia="en-GB"/>
                <w14:ligatures w14:val="none"/>
              </w:rPr>
              <w:t>T</w:t>
            </w:r>
            <w:r w:rsidR="007A0F86" w:rsidRPr="007A0F86">
              <w:rPr>
                <w:rFonts w:eastAsia="Times New Roman" w:cstheme="minorHAnsi"/>
                <w:kern w:val="0"/>
                <w:lang w:eastAsia="en-GB"/>
                <w14:ligatures w14:val="none"/>
              </w:rPr>
              <w:t>emporal misalignment</w:t>
            </w:r>
          </w:p>
          <w:p w14:paraId="4C51226A" w14:textId="77777777" w:rsidR="00A564EA" w:rsidRDefault="00A564EA" w:rsidP="00CF2E7C">
            <w:pPr>
              <w:textAlignment w:val="baseline"/>
              <w:rPr>
                <w:rFonts w:eastAsia="Times New Roman" w:cstheme="minorHAnsi"/>
                <w:kern w:val="0"/>
                <w:lang w:eastAsia="en-GB"/>
                <w14:ligatures w14:val="none"/>
              </w:rPr>
            </w:pPr>
            <w:r w:rsidRPr="00A564EA">
              <w:rPr>
                <w:rFonts w:eastAsia="Times New Roman" w:cstheme="minorHAnsi"/>
                <w:kern w:val="0"/>
                <w:lang w:eastAsia="en-GB"/>
                <w14:ligatures w14:val="none"/>
              </w:rPr>
              <w:t xml:space="preserve">Climate risks unfold over </w:t>
            </w:r>
            <w:proofErr w:type="gramStart"/>
            <w:r w:rsidRPr="00A564EA">
              <w:rPr>
                <w:rFonts w:eastAsia="Times New Roman" w:cstheme="minorHAnsi"/>
                <w:kern w:val="0"/>
                <w:lang w:eastAsia="en-GB"/>
                <w14:ligatures w14:val="none"/>
              </w:rPr>
              <w:t>long time</w:t>
            </w:r>
            <w:proofErr w:type="gramEnd"/>
            <w:r w:rsidRPr="00A564EA">
              <w:rPr>
                <w:rFonts w:eastAsia="Times New Roman" w:cstheme="minorHAnsi"/>
                <w:kern w:val="0"/>
                <w:lang w:eastAsia="en-GB"/>
                <w14:ligatures w14:val="none"/>
              </w:rPr>
              <w:t xml:space="preserve"> horizons (decades), while prudential frameworks typically operate over short cycles (annual or quarterly), causing a time-horizon mismatch</w:t>
            </w:r>
            <w:r w:rsidR="007A0F86">
              <w:rPr>
                <w:rFonts w:eastAsia="Times New Roman" w:cstheme="minorHAnsi"/>
                <w:kern w:val="0"/>
                <w:lang w:eastAsia="en-GB"/>
                <w14:ligatures w14:val="none"/>
              </w:rPr>
              <w:t>.</w:t>
            </w:r>
          </w:p>
          <w:p w14:paraId="493499EC" w14:textId="27EDA2AB" w:rsidR="007A0F86" w:rsidRDefault="007A0F8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M</w:t>
            </w:r>
            <w:r w:rsidRPr="007A0F86">
              <w:rPr>
                <w:rFonts w:eastAsia="Times New Roman" w:cstheme="minorHAnsi"/>
                <w:kern w:val="0"/>
                <w:lang w:eastAsia="en-GB"/>
                <w14:ligatures w14:val="none"/>
              </w:rPr>
              <w:t>ethodological inconsistency and fragmentation</w:t>
            </w:r>
          </w:p>
          <w:p w14:paraId="718D87F5" w14:textId="0201CD7A" w:rsidR="007A0F86" w:rsidRPr="009C4D10" w:rsidRDefault="007A0F86" w:rsidP="00CF2E7C">
            <w:pPr>
              <w:textAlignment w:val="baseline"/>
              <w:rPr>
                <w:rFonts w:eastAsia="Times New Roman" w:cstheme="minorHAnsi"/>
                <w:kern w:val="0"/>
                <w:lang w:eastAsia="en-GB"/>
                <w14:ligatures w14:val="none"/>
              </w:rPr>
            </w:pPr>
            <w:r w:rsidRPr="007A0F86">
              <w:rPr>
                <w:rFonts w:eastAsia="Times New Roman" w:cstheme="minorHAnsi"/>
                <w:kern w:val="0"/>
                <w:lang w:eastAsia="en-GB"/>
                <w14:ligatures w14:val="none"/>
              </w:rPr>
              <w:t>There’s no consensus on conducting climate stress tests or scenario analyses. Different bodies (ECB, NGFS, EBA, FSB) are working on methodologies, but a unified approach remains lacking</w:t>
            </w:r>
            <w:r>
              <w:rPr>
                <w:rFonts w:eastAsia="Times New Roman" w:cstheme="minorHAnsi"/>
                <w:kern w:val="0"/>
                <w:lang w:eastAsia="en-GB"/>
                <w14:ligatures w14:val="none"/>
              </w:rPr>
              <w: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818558B"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89696FB"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642ADAB9"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B15C63E"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6D632CF6"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0C0BD8D" w:rsidR="00FE0EA5" w:rsidRPr="009C4D10" w:rsidRDefault="00FE0EA5" w:rsidP="00CF2E7C">
            <w:pPr>
              <w:rPr>
                <w:rFonts w:cstheme="minorHAnsi"/>
              </w:rPr>
            </w:pPr>
            <w:r w:rsidRPr="009C4D10">
              <w:rPr>
                <w:rFonts w:cstheme="minorHAnsi"/>
              </w:rPr>
              <w:t>  </w:t>
            </w:r>
            <w:r w:rsidR="00827FC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D347827" w:rsidR="00FE0EA5" w:rsidRPr="009C4D10" w:rsidRDefault="00FE0EA5" w:rsidP="00CF2E7C">
            <w:pPr>
              <w:rPr>
                <w:rFonts w:cstheme="minorHAnsi"/>
              </w:rPr>
            </w:pPr>
            <w:r w:rsidRPr="009C4D10">
              <w:rPr>
                <w:rFonts w:cstheme="minorHAnsi"/>
                <w:lang w:val="en-SG"/>
              </w:rPr>
              <w:t> </w:t>
            </w:r>
            <w:r w:rsidRPr="009C4D10">
              <w:rPr>
                <w:rFonts w:cstheme="minorHAnsi"/>
              </w:rPr>
              <w:t> </w:t>
            </w:r>
            <w:r w:rsidR="00827FCB">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948A643" w14:textId="64789494" w:rsidR="000F499F" w:rsidRDefault="00243969" w:rsidP="000F499F">
            <w:pPr>
              <w:rPr>
                <w:rFonts w:cstheme="minorHAnsi"/>
              </w:rPr>
            </w:pPr>
            <w:r>
              <w:rPr>
                <w:rFonts w:cstheme="minorHAnsi"/>
              </w:rPr>
              <w:t xml:space="preserve">- </w:t>
            </w:r>
            <w:r w:rsidR="000F499F" w:rsidRPr="000F499F">
              <w:rPr>
                <w:rFonts w:cstheme="minorHAnsi"/>
              </w:rPr>
              <w:t xml:space="preserve">Regulation (EU) 2019/2033 (Investment Firms Regulation </w:t>
            </w:r>
            <w:r w:rsidR="000F499F">
              <w:rPr>
                <w:rFonts w:cstheme="minorHAnsi"/>
              </w:rPr>
              <w:t xml:space="preserve">- </w:t>
            </w:r>
            <w:r w:rsidR="000F499F" w:rsidRPr="000F499F">
              <w:rPr>
                <w:rFonts w:cstheme="minorHAnsi"/>
              </w:rPr>
              <w:t>IFR)</w:t>
            </w:r>
            <w:r w:rsidR="000F499F">
              <w:rPr>
                <w:rFonts w:cstheme="minorHAnsi"/>
              </w:rPr>
              <w:t>, r</w:t>
            </w:r>
            <w:r w:rsidR="000F499F" w:rsidRPr="000F499F">
              <w:rPr>
                <w:rFonts w:cstheme="minorHAnsi"/>
              </w:rPr>
              <w:t>eferred to extensively and forms the core substantive counterpart to the Directive.</w:t>
            </w:r>
          </w:p>
          <w:p w14:paraId="01F99B65" w14:textId="21EFC277" w:rsidR="000F499F" w:rsidRDefault="000F499F" w:rsidP="000F499F">
            <w:pPr>
              <w:rPr>
                <w:rFonts w:cstheme="minorHAnsi"/>
              </w:rPr>
            </w:pPr>
            <w:r>
              <w:rPr>
                <w:rFonts w:cstheme="minorHAnsi"/>
              </w:rPr>
              <w:lastRenderedPageBreak/>
              <w:t>Available at:</w:t>
            </w:r>
            <w:r w:rsidR="00156CA7">
              <w:rPr>
                <w:rFonts w:cstheme="minorHAnsi"/>
              </w:rPr>
              <w:t xml:space="preserve"> </w:t>
            </w:r>
            <w:hyperlink r:id="rId20" w:history="1">
              <w:r w:rsidR="00156CA7" w:rsidRPr="00CE6D16">
                <w:rPr>
                  <w:rStyle w:val="Hyperlink"/>
                  <w:rFonts w:cstheme="minorHAnsi"/>
                </w:rPr>
                <w:t>https://web.archive.org/web/20250724101701/https://eur-lex.europa.eu/legal-content/EN/TXT/?uri=CELEX%3A02019R2033-20240109</w:t>
              </w:r>
            </w:hyperlink>
            <w:r w:rsidR="00156CA7">
              <w:rPr>
                <w:rFonts w:cstheme="minorHAnsi"/>
              </w:rPr>
              <w:t xml:space="preserve"> </w:t>
            </w:r>
          </w:p>
          <w:p w14:paraId="31D50693" w14:textId="280B60D6" w:rsidR="000F499F" w:rsidRDefault="000F499F" w:rsidP="000F499F">
            <w:pPr>
              <w:rPr>
                <w:rFonts w:cstheme="minorHAnsi"/>
              </w:rPr>
            </w:pPr>
            <w:r>
              <w:rPr>
                <w:rFonts w:cstheme="minorHAnsi"/>
              </w:rPr>
              <w:t xml:space="preserve">- </w:t>
            </w:r>
            <w:r w:rsidR="00351741" w:rsidRPr="00351741">
              <w:rPr>
                <w:rFonts w:cstheme="minorHAnsi"/>
              </w:rPr>
              <w:t xml:space="preserve">Regulation (EU) No 575/2013 (Capital Requirements Regulation </w:t>
            </w:r>
            <w:r w:rsidR="00351741">
              <w:rPr>
                <w:rFonts w:cstheme="minorHAnsi"/>
              </w:rPr>
              <w:t xml:space="preserve">- </w:t>
            </w:r>
            <w:r w:rsidR="00351741" w:rsidRPr="00351741">
              <w:rPr>
                <w:rFonts w:cstheme="minorHAnsi"/>
              </w:rPr>
              <w:t>CRR)</w:t>
            </w:r>
            <w:r w:rsidR="009A6EBC">
              <w:rPr>
                <w:rFonts w:cstheme="minorHAnsi"/>
              </w:rPr>
              <w:t>, r</w:t>
            </w:r>
            <w:r w:rsidR="009A6EBC" w:rsidRPr="009A6EBC">
              <w:rPr>
                <w:rFonts w:cstheme="minorHAnsi"/>
              </w:rPr>
              <w:t>eferred to in connection with own funds requirements and restrictions on distributions</w:t>
            </w:r>
            <w:r w:rsidR="009A6EBC">
              <w:rPr>
                <w:rFonts w:cstheme="minorHAnsi"/>
              </w:rPr>
              <w:t>.</w:t>
            </w:r>
          </w:p>
          <w:p w14:paraId="7478C0BE" w14:textId="30107BC1" w:rsidR="00C01AF9" w:rsidRPr="009C4D10" w:rsidRDefault="009A6EBC" w:rsidP="00CF2E7C">
            <w:pPr>
              <w:rPr>
                <w:rFonts w:cstheme="minorHAnsi"/>
              </w:rPr>
            </w:pPr>
            <w:r>
              <w:rPr>
                <w:rFonts w:cstheme="minorHAnsi"/>
              </w:rPr>
              <w:t>Available at:</w:t>
            </w:r>
            <w:r w:rsidR="00B83A0F">
              <w:t xml:space="preserve"> </w:t>
            </w:r>
            <w:hyperlink r:id="rId21" w:history="1">
              <w:r w:rsidR="00B83A0F" w:rsidRPr="00CE6D16">
                <w:rPr>
                  <w:rStyle w:val="Hyperlink"/>
                  <w:rFonts w:cstheme="minorHAnsi"/>
                </w:rPr>
                <w:t>https://web.archive.org/web/20250724101748/https://eur-lex.europa.eu/legal-content/EN/TXT/?uri=CELEX%3A02013R0575-20250629</w:t>
              </w:r>
            </w:hyperlink>
            <w:r w:rsidR="00B83A0F">
              <w:rPr>
                <w:rFonts w:cstheme="minorHAnsi"/>
              </w:rPr>
              <w:t xml:space="preserve"> </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46F0DB" w14:textId="77777777" w:rsidR="00BA6664" w:rsidRDefault="00BA6664" w:rsidP="00874E39">
      <w:r>
        <w:separator/>
      </w:r>
    </w:p>
  </w:endnote>
  <w:endnote w:type="continuationSeparator" w:id="0">
    <w:p w14:paraId="1355D76C" w14:textId="77777777" w:rsidR="00BA6664" w:rsidRDefault="00BA6664" w:rsidP="00874E39">
      <w:r>
        <w:continuationSeparator/>
      </w:r>
    </w:p>
  </w:endnote>
  <w:endnote w:type="continuationNotice" w:id="1">
    <w:p w14:paraId="367B1378" w14:textId="77777777" w:rsidR="00BA6664" w:rsidRDefault="00BA66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69E6E9" w14:textId="77777777" w:rsidR="00BA6664" w:rsidRDefault="00BA6664" w:rsidP="00874E39">
      <w:r>
        <w:separator/>
      </w:r>
    </w:p>
  </w:footnote>
  <w:footnote w:type="continuationSeparator" w:id="0">
    <w:p w14:paraId="0F5A69AF" w14:textId="77777777" w:rsidR="00BA6664" w:rsidRDefault="00BA6664" w:rsidP="00874E39">
      <w:r>
        <w:continuationSeparator/>
      </w:r>
    </w:p>
  </w:footnote>
  <w:footnote w:type="continuationNotice" w:id="1">
    <w:p w14:paraId="624740E3" w14:textId="77777777" w:rsidR="00BA6664" w:rsidRDefault="00BA666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2421A2B"/>
    <w:multiLevelType w:val="multilevel"/>
    <w:tmpl w:val="4F2EF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974482686">
    <w:abstractNumId w:val="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6C0"/>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3F3"/>
    <w:rsid w:val="000D6D08"/>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99F"/>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A7"/>
    <w:rsid w:val="00156CD5"/>
    <w:rsid w:val="0015734C"/>
    <w:rsid w:val="0016002C"/>
    <w:rsid w:val="00160486"/>
    <w:rsid w:val="001604B3"/>
    <w:rsid w:val="00161D1B"/>
    <w:rsid w:val="00162CC0"/>
    <w:rsid w:val="00164519"/>
    <w:rsid w:val="001645C9"/>
    <w:rsid w:val="00166DB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6F3D"/>
    <w:rsid w:val="001A764D"/>
    <w:rsid w:val="001B0692"/>
    <w:rsid w:val="001B07D3"/>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21B"/>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F66"/>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96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B7E"/>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741"/>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EDD"/>
    <w:rsid w:val="003C3D2F"/>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BE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B2C"/>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42E"/>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89D"/>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144"/>
    <w:rsid w:val="004F48E8"/>
    <w:rsid w:val="004F5354"/>
    <w:rsid w:val="00501CCF"/>
    <w:rsid w:val="00502833"/>
    <w:rsid w:val="00502C8A"/>
    <w:rsid w:val="00502F7A"/>
    <w:rsid w:val="00504B4A"/>
    <w:rsid w:val="00505115"/>
    <w:rsid w:val="00505C53"/>
    <w:rsid w:val="005077A1"/>
    <w:rsid w:val="00507978"/>
    <w:rsid w:val="0051025C"/>
    <w:rsid w:val="005120F3"/>
    <w:rsid w:val="00512D50"/>
    <w:rsid w:val="00512EA5"/>
    <w:rsid w:val="005133A4"/>
    <w:rsid w:val="00513425"/>
    <w:rsid w:val="0051416D"/>
    <w:rsid w:val="00514B44"/>
    <w:rsid w:val="005178CB"/>
    <w:rsid w:val="00517AB0"/>
    <w:rsid w:val="00517BD8"/>
    <w:rsid w:val="00517F36"/>
    <w:rsid w:val="00520C52"/>
    <w:rsid w:val="00520CBB"/>
    <w:rsid w:val="00521C4F"/>
    <w:rsid w:val="005223DC"/>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E9B"/>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4C9"/>
    <w:rsid w:val="005C5681"/>
    <w:rsid w:val="005C6A1D"/>
    <w:rsid w:val="005C765C"/>
    <w:rsid w:val="005C7DF6"/>
    <w:rsid w:val="005C7E95"/>
    <w:rsid w:val="005D02C9"/>
    <w:rsid w:val="005D1868"/>
    <w:rsid w:val="005D5069"/>
    <w:rsid w:val="005D55BE"/>
    <w:rsid w:val="005D7CD4"/>
    <w:rsid w:val="005E0296"/>
    <w:rsid w:val="005E264E"/>
    <w:rsid w:val="005E2F27"/>
    <w:rsid w:val="005E50FD"/>
    <w:rsid w:val="005E603A"/>
    <w:rsid w:val="005E62F9"/>
    <w:rsid w:val="005E6D04"/>
    <w:rsid w:val="005E78BA"/>
    <w:rsid w:val="005F0524"/>
    <w:rsid w:val="005F0CCB"/>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209"/>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3B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261"/>
    <w:rsid w:val="00735A3B"/>
    <w:rsid w:val="00736347"/>
    <w:rsid w:val="00736F5F"/>
    <w:rsid w:val="00737B83"/>
    <w:rsid w:val="0074022B"/>
    <w:rsid w:val="007404B4"/>
    <w:rsid w:val="00740BD6"/>
    <w:rsid w:val="007419BF"/>
    <w:rsid w:val="00741AA1"/>
    <w:rsid w:val="0074258C"/>
    <w:rsid w:val="00742723"/>
    <w:rsid w:val="0074291C"/>
    <w:rsid w:val="00742D5F"/>
    <w:rsid w:val="00743313"/>
    <w:rsid w:val="007437F3"/>
    <w:rsid w:val="00743BC2"/>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49C"/>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F86"/>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1BC"/>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52"/>
    <w:rsid w:val="008273C0"/>
    <w:rsid w:val="008279D8"/>
    <w:rsid w:val="00827FCB"/>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2B"/>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FC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F87"/>
    <w:rsid w:val="00896A1E"/>
    <w:rsid w:val="00897600"/>
    <w:rsid w:val="008A0461"/>
    <w:rsid w:val="008A093D"/>
    <w:rsid w:val="008A1DDE"/>
    <w:rsid w:val="008A207F"/>
    <w:rsid w:val="008A345E"/>
    <w:rsid w:val="008A3D44"/>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164"/>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5E0"/>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6EBC"/>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CC5"/>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5D9"/>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ADF"/>
    <w:rsid w:val="00A53328"/>
    <w:rsid w:val="00A5358D"/>
    <w:rsid w:val="00A53874"/>
    <w:rsid w:val="00A55B96"/>
    <w:rsid w:val="00A564EA"/>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1E9"/>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D7D"/>
    <w:rsid w:val="00B12278"/>
    <w:rsid w:val="00B12EFD"/>
    <w:rsid w:val="00B131A4"/>
    <w:rsid w:val="00B13CB3"/>
    <w:rsid w:val="00B14AD4"/>
    <w:rsid w:val="00B14C45"/>
    <w:rsid w:val="00B15489"/>
    <w:rsid w:val="00B15CFE"/>
    <w:rsid w:val="00B16155"/>
    <w:rsid w:val="00B171FD"/>
    <w:rsid w:val="00B17588"/>
    <w:rsid w:val="00B17FBC"/>
    <w:rsid w:val="00B200F9"/>
    <w:rsid w:val="00B20D58"/>
    <w:rsid w:val="00B2152B"/>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517"/>
    <w:rsid w:val="00B81D1E"/>
    <w:rsid w:val="00B82E77"/>
    <w:rsid w:val="00B82FEF"/>
    <w:rsid w:val="00B83A0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664"/>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169"/>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0FF"/>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67C"/>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78B"/>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47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DEF"/>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54B"/>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4B2D"/>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3DF"/>
    <w:rsid w:val="00E244AA"/>
    <w:rsid w:val="00E24527"/>
    <w:rsid w:val="00E24D9B"/>
    <w:rsid w:val="00E25259"/>
    <w:rsid w:val="00E25EAF"/>
    <w:rsid w:val="00E26760"/>
    <w:rsid w:val="00E321EB"/>
    <w:rsid w:val="00E32892"/>
    <w:rsid w:val="00E330BA"/>
    <w:rsid w:val="00E336B0"/>
    <w:rsid w:val="00E34DED"/>
    <w:rsid w:val="00E368E8"/>
    <w:rsid w:val="00E36D6E"/>
    <w:rsid w:val="00E37C8B"/>
    <w:rsid w:val="00E37ECE"/>
    <w:rsid w:val="00E405B9"/>
    <w:rsid w:val="00E41941"/>
    <w:rsid w:val="00E425D4"/>
    <w:rsid w:val="00E43229"/>
    <w:rsid w:val="00E454C9"/>
    <w:rsid w:val="00E5051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2CD"/>
    <w:rsid w:val="00EC24B4"/>
    <w:rsid w:val="00EC2AE7"/>
    <w:rsid w:val="00EC2EDF"/>
    <w:rsid w:val="00EC42A1"/>
    <w:rsid w:val="00EC523C"/>
    <w:rsid w:val="00EC675B"/>
    <w:rsid w:val="00EC7098"/>
    <w:rsid w:val="00EC7BB3"/>
    <w:rsid w:val="00ED095F"/>
    <w:rsid w:val="00ED34A7"/>
    <w:rsid w:val="00ED5CC1"/>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C18"/>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BCE"/>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CFF"/>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E5BEE"/>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184024">
      <w:bodyDiv w:val="1"/>
      <w:marLeft w:val="0"/>
      <w:marRight w:val="0"/>
      <w:marTop w:val="0"/>
      <w:marBottom w:val="0"/>
      <w:divBdr>
        <w:top w:val="none" w:sz="0" w:space="0" w:color="auto"/>
        <w:left w:val="none" w:sz="0" w:space="0" w:color="auto"/>
        <w:bottom w:val="none" w:sz="0" w:space="0" w:color="auto"/>
        <w:right w:val="none" w:sz="0" w:space="0" w:color="auto"/>
      </w:divBdr>
      <w:divsChild>
        <w:div w:id="15508046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524639">
      <w:bodyDiv w:val="1"/>
      <w:marLeft w:val="0"/>
      <w:marRight w:val="0"/>
      <w:marTop w:val="0"/>
      <w:marBottom w:val="0"/>
      <w:divBdr>
        <w:top w:val="none" w:sz="0" w:space="0" w:color="auto"/>
        <w:left w:val="none" w:sz="0" w:space="0" w:color="auto"/>
        <w:bottom w:val="none" w:sz="0" w:space="0" w:color="auto"/>
        <w:right w:val="none" w:sz="0" w:space="0" w:color="auto"/>
      </w:divBdr>
      <w:divsChild>
        <w:div w:id="8250485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24101748/https://eur-lex.europa.eu/legal-content/EN/TXT/?uri=CELEX%3A02013R0575-20250629"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65238/https://eur-lex.europa.eu/legal-content/EN/TXT/?uri=CELEX%3A02019L2034-2024122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4101701/https://eur-lex.europa.eu/legal-content/EN/TXT/?uri=CELEX%3A02019R2033-20240109"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f3ae4679-24f8-43cb-880e-0de6e561589c"/>
    <ds:schemaRef ds:uri="http://purl.org/dc/terms/"/>
    <ds:schemaRef ds:uri="http://schemas.openxmlformats.org/package/2006/metadata/core-properties"/>
    <ds:schemaRef ds:uri="http://schemas.microsoft.com/office/2006/documentManagement/types"/>
    <ds:schemaRef ds:uri="http://www.w3.org/XML/1998/namespace"/>
    <ds:schemaRef ds:uri="a84edb6d-cf86-4b2b-8a62-38e962ed6fbe"/>
    <ds:schemaRef ds:uri="http://purl.org/dc/elements/1.1/"/>
    <ds:schemaRef ds:uri="http://schemas.microsoft.com/office/2006/metadata/properties"/>
    <ds:schemaRef ds:uri="http://schemas.microsoft.com/office/infopath/2007/PartnerControls"/>
    <ds:schemaRef ds:uri="http://purl.org/dc/dcmityp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23051</Words>
  <Characters>131391</Characters>
  <Application>Microsoft Office Word</Application>
  <DocSecurity>0</DocSecurity>
  <Lines>1094</Lines>
  <Paragraphs>308</Paragraphs>
  <ScaleCrop>false</ScaleCrop>
  <Company/>
  <LinksUpToDate>false</LinksUpToDate>
  <CharactersWithSpaces>154134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70</cp:revision>
  <cp:lastPrinted>2025-03-21T00:14:00Z</cp:lastPrinted>
  <dcterms:created xsi:type="dcterms:W3CDTF">2025-06-19T12:20:00Z</dcterms:created>
  <dcterms:modified xsi:type="dcterms:W3CDTF">2025-07-24T10:19:00Z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